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C9937" w14:textId="77777777" w:rsidR="00392F66" w:rsidRPr="000A6D88" w:rsidRDefault="00392F66" w:rsidP="00392F66">
      <w:pPr>
        <w:jc w:val="center"/>
        <w:rPr>
          <w:rFonts w:ascii="Noto Sans" w:hAnsi="Noto Sans" w:cs="Noto Sans" w:hint="eastAsia"/>
          <w:b/>
          <w:bCs/>
          <w:color w:val="auto"/>
          <w:sz w:val="22"/>
          <w:szCs w:val="22"/>
          <w:u w:color="131313"/>
          <w:lang w:val="en-GB"/>
        </w:rPr>
      </w:pPr>
      <w:r w:rsidRPr="000A6D88">
        <w:rPr>
          <w:rFonts w:ascii="Noto Sans" w:hAnsi="Noto Sans" w:cs="Noto Sans"/>
          <w:b/>
          <w:bCs/>
          <w:color w:val="auto"/>
          <w:sz w:val="22"/>
          <w:szCs w:val="22"/>
          <w:u w:color="131313"/>
          <w:lang w:val="en-US"/>
        </w:rPr>
        <w:t>Technical note</w:t>
      </w:r>
    </w:p>
    <w:p w14:paraId="62FEB8CE" w14:textId="77777777" w:rsidR="00392F66" w:rsidRPr="000A6D88" w:rsidRDefault="00392F66" w:rsidP="00392F66">
      <w:pPr>
        <w:jc w:val="center"/>
        <w:rPr>
          <w:rFonts w:ascii="Noto Sans" w:hAnsi="Noto Sans" w:cs="Noto Sans" w:hint="eastAsia"/>
          <w:color w:val="auto"/>
          <w:sz w:val="22"/>
          <w:szCs w:val="22"/>
          <w:u w:color="131313"/>
          <w:lang w:val="en-GB"/>
        </w:rPr>
      </w:pPr>
    </w:p>
    <w:p w14:paraId="6104B158" w14:textId="65930A6D" w:rsidR="00392F66" w:rsidRPr="000A6D88" w:rsidRDefault="00392F66" w:rsidP="00392F66">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r w:rsidRPr="000A6D88">
        <w:rPr>
          <w:rFonts w:ascii="Noto Sans" w:hAnsi="Noto Sans" w:cs="Noto Sans"/>
          <w:color w:val="230050"/>
          <w:shd w:val="clear" w:color="auto" w:fill="FFFFFF"/>
          <w14:textOutline w14:w="0" w14:cap="flat" w14:cmpd="sng" w14:algn="ctr">
            <w14:noFill/>
            <w14:prstDash w14:val="solid"/>
            <w14:bevel/>
          </w14:textOutline>
        </w:rPr>
        <w:t xml:space="preserve">The web-conference will be conducted on </w:t>
      </w:r>
      <w:r w:rsidR="00477AB9" w:rsidRPr="000A6D88">
        <w:rPr>
          <w:rFonts w:ascii="Noto Sans" w:hAnsi="Noto Sans" w:cs="Noto Sans"/>
          <w:color w:val="230050"/>
          <w:u w:val="single"/>
          <w:shd w:val="clear" w:color="auto" w:fill="FFFFFF"/>
          <w14:textOutline w14:w="0" w14:cap="flat" w14:cmpd="sng" w14:algn="ctr">
            <w14:noFill/>
            <w14:prstDash w14:val="solid"/>
            <w14:bevel/>
          </w14:textOutline>
        </w:rPr>
        <w:t>04 June</w:t>
      </w:r>
      <w:r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2020</w:t>
      </w:r>
      <w:r w:rsidRPr="000A6D88">
        <w:rPr>
          <w:rFonts w:ascii="Noto Sans" w:hAnsi="Noto Sans" w:cs="Noto Sans"/>
          <w:color w:val="230050"/>
          <w:shd w:val="clear" w:color="auto" w:fill="FFFFFF"/>
          <w14:textOutline w14:w="0" w14:cap="flat" w14:cmpd="sng" w14:algn="ctr">
            <w14:noFill/>
            <w14:prstDash w14:val="solid"/>
            <w14:bevel/>
          </w14:textOutline>
        </w:rPr>
        <w:t xml:space="preserve"> </w:t>
      </w:r>
      <w:r w:rsidR="00635409" w:rsidRPr="000A6D88">
        <w:rPr>
          <w:rFonts w:ascii="Noto Sans" w:hAnsi="Noto Sans" w:cs="Noto Sans"/>
          <w:color w:val="230050"/>
          <w:shd w:val="clear" w:color="auto" w:fill="FFFFFF"/>
          <w14:textOutline w14:w="0" w14:cap="flat" w14:cmpd="sng" w14:algn="ctr">
            <w14:noFill/>
            <w14:prstDash w14:val="solid"/>
            <w14:bevel/>
          </w14:textOutline>
        </w:rPr>
        <w:t xml:space="preserve">at </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1</w:t>
      </w:r>
      <w:r w:rsidR="00524709" w:rsidRPr="000A6D88">
        <w:rPr>
          <w:rFonts w:ascii="Noto Sans" w:hAnsi="Noto Sans" w:cs="Noto Sans"/>
          <w:color w:val="230050"/>
          <w:u w:val="single"/>
          <w:shd w:val="clear" w:color="auto" w:fill="FFFFFF"/>
          <w14:textOutline w14:w="0" w14:cap="flat" w14:cmpd="sng" w14:algn="ctr">
            <w14:noFill/>
            <w14:prstDash w14:val="solid"/>
            <w14:bevel/>
          </w14:textOutline>
        </w:rPr>
        <w:t>2</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w:t>
      </w:r>
      <w:r w:rsidR="00477AB9" w:rsidRPr="000A6D88">
        <w:rPr>
          <w:rFonts w:ascii="Noto Sans" w:hAnsi="Noto Sans" w:cs="Noto Sans"/>
          <w:color w:val="230050"/>
          <w:u w:val="single"/>
          <w:shd w:val="clear" w:color="auto" w:fill="FFFFFF"/>
          <w14:textOutline w14:w="0" w14:cap="flat" w14:cmpd="sng" w14:algn="ctr">
            <w14:noFill/>
            <w14:prstDash w14:val="solid"/>
            <w14:bevel/>
          </w14:textOutline>
        </w:rPr>
        <w:t>30</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Moscow</w:t>
      </w:r>
      <w:r w:rsidR="007B06CC"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w:t>
      </w:r>
      <w:r w:rsidR="005E3385" w:rsidRPr="000A6D88">
        <w:rPr>
          <w:rFonts w:ascii="Noto Sans" w:hAnsi="Noto Sans" w:cs="Noto Sans"/>
          <w:color w:val="230050"/>
          <w:u w:val="single"/>
          <w:shd w:val="clear" w:color="auto" w:fill="FFFFFF"/>
          <w14:textOutline w14:w="0" w14:cap="flat" w14:cmpd="sng" w14:algn="ctr">
            <w14:noFill/>
            <w14:prstDash w14:val="solid"/>
            <w14:bevel/>
          </w14:textOutline>
        </w:rPr>
        <w:t>time</w:t>
      </w:r>
      <w:r w:rsidR="005E3385" w:rsidRPr="000A6D88">
        <w:rPr>
          <w:rFonts w:ascii="Noto Sans" w:hAnsi="Noto Sans" w:cs="Noto Sans"/>
          <w:color w:val="230050"/>
          <w:shd w:val="clear" w:color="auto" w:fill="FFFFFF"/>
          <w14:textOutline w14:w="0" w14:cap="flat" w14:cmpd="sng" w14:algn="ctr">
            <w14:noFill/>
            <w14:prstDash w14:val="solid"/>
            <w14:bevel/>
          </w14:textOutline>
        </w:rPr>
        <w:t>.</w:t>
      </w:r>
    </w:p>
    <w:p w14:paraId="0C145623" w14:textId="77777777" w:rsidR="00392F66" w:rsidRPr="000A6D88" w:rsidRDefault="007B06CC" w:rsidP="00392F66">
      <w:pPr>
        <w:pStyle w:val="1"/>
        <w:jc w:val="both"/>
        <w:rPr>
          <w:rFonts w:ascii="Noto Sans" w:eastAsia="Times New Roman" w:hAnsi="Noto Sans" w:cs="Noto Sans"/>
          <w:color w:val="auto"/>
          <w:u w:color="191919"/>
          <w:shd w:val="clear" w:color="auto" w:fill="FFFFFF"/>
        </w:rPr>
      </w:pPr>
      <w:r w:rsidRPr="000A6D88">
        <w:rPr>
          <w:rFonts w:ascii="Noto Sans" w:eastAsia="Times New Roman" w:hAnsi="Noto Sans" w:cs="Noto Sans"/>
          <w:color w:val="auto"/>
          <w:u w:color="191919"/>
          <w:shd w:val="clear" w:color="auto" w:fill="FFFFFF"/>
        </w:rPr>
        <w:t xml:space="preserve"> </w:t>
      </w:r>
    </w:p>
    <w:p w14:paraId="2AA09C9B" w14:textId="77777777" w:rsidR="003B632B" w:rsidRPr="000A6D88" w:rsidRDefault="003B632B" w:rsidP="003B632B">
      <w:pPr>
        <w:pStyle w:val="a7"/>
        <w:jc w:val="both"/>
        <w:rPr>
          <w:rFonts w:ascii="Noto Sans" w:hAnsi="Noto Sans" w:cs="Noto Sans" w:hint="eastAsia"/>
          <w:color w:val="230050"/>
          <w:sz w:val="22"/>
          <w:szCs w:val="22"/>
          <w:shd w:val="clear" w:color="auto" w:fill="FFFFFF"/>
        </w:rPr>
      </w:pPr>
      <w:r w:rsidRPr="000A6D88">
        <w:rPr>
          <w:rFonts w:ascii="Noto Sans" w:hAnsi="Noto Sans" w:cs="Noto Sans"/>
          <w:color w:val="230050"/>
          <w:sz w:val="22"/>
          <w:szCs w:val="22"/>
          <w:shd w:val="clear" w:color="auto" w:fill="FFFFFF"/>
        </w:rPr>
        <w:t xml:space="preserve">With the outbreak of the global COVID -19 pandemic countries worldwide are faced with a major public health challenge with significant social, </w:t>
      </w:r>
      <w:proofErr w:type="spellStart"/>
      <w:r w:rsidRPr="000A6D88">
        <w:rPr>
          <w:rFonts w:ascii="Noto Sans" w:hAnsi="Noto Sans" w:cs="Noto Sans"/>
          <w:color w:val="230050"/>
          <w:sz w:val="22"/>
          <w:szCs w:val="22"/>
          <w:shd w:val="clear" w:color="auto" w:fill="FFFFFF"/>
        </w:rPr>
        <w:t>labour</w:t>
      </w:r>
      <w:proofErr w:type="spellEnd"/>
      <w:r w:rsidRPr="000A6D88">
        <w:rPr>
          <w:rFonts w:ascii="Noto Sans" w:hAnsi="Noto Sans" w:cs="Noto Sans"/>
          <w:color w:val="230050"/>
          <w:sz w:val="22"/>
          <w:szCs w:val="22"/>
          <w:shd w:val="clear" w:color="auto" w:fill="FFFFFF"/>
        </w:rPr>
        <w:t xml:space="preserve"> market and economic impacts. Governments are facing a double challenge: containing the health pandemic while responding to its economic and social effects. </w:t>
      </w:r>
    </w:p>
    <w:p w14:paraId="6EA4A94B"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p>
    <w:p w14:paraId="3DFF8AEC"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r w:rsidRPr="000A6D88">
        <w:rPr>
          <w:rFonts w:ascii="Noto Sans" w:hAnsi="Noto Sans" w:cs="Noto Sans"/>
          <w:color w:val="230050"/>
          <w:sz w:val="22"/>
          <w:szCs w:val="22"/>
          <w:shd w:val="clear" w:color="auto" w:fill="FFFFFF"/>
        </w:rPr>
        <w:t xml:space="preserve">Many women and men in the informal economy need to earn an income to feed themselves and their families, as most of them cannot rely on income replacement or savings. Not working and staying home means losing their jobs and their livelihoods. For most workers in the informal economy, the lack of social protection is a challenge not only in their daily struggles to make ends meet but in their aspirations to obtain decent work, </w:t>
      </w:r>
      <w:proofErr w:type="gramStart"/>
      <w:r w:rsidRPr="000A6D88">
        <w:rPr>
          <w:rFonts w:ascii="Noto Sans" w:hAnsi="Noto Sans" w:cs="Noto Sans"/>
          <w:color w:val="230050"/>
          <w:sz w:val="22"/>
          <w:szCs w:val="22"/>
          <w:shd w:val="clear" w:color="auto" w:fill="FFFFFF"/>
        </w:rPr>
        <w:t>rights</w:t>
      </w:r>
      <w:proofErr w:type="gramEnd"/>
      <w:r w:rsidRPr="000A6D88">
        <w:rPr>
          <w:rFonts w:ascii="Noto Sans" w:hAnsi="Noto Sans" w:cs="Noto Sans"/>
          <w:color w:val="230050"/>
          <w:sz w:val="22"/>
          <w:szCs w:val="22"/>
          <w:shd w:val="clear" w:color="auto" w:fill="FFFFFF"/>
        </w:rPr>
        <w:t xml:space="preserve"> and dignity. For the societies in which they live, the lack of social protection coverage undermines inclusive growth, weakens social </w:t>
      </w:r>
      <w:proofErr w:type="gramStart"/>
      <w:r w:rsidRPr="000A6D88">
        <w:rPr>
          <w:rFonts w:ascii="Noto Sans" w:hAnsi="Noto Sans" w:cs="Noto Sans"/>
          <w:color w:val="230050"/>
          <w:sz w:val="22"/>
          <w:szCs w:val="22"/>
          <w:shd w:val="clear" w:color="auto" w:fill="FFFFFF"/>
        </w:rPr>
        <w:t>justice</w:t>
      </w:r>
      <w:proofErr w:type="gramEnd"/>
      <w:r w:rsidRPr="000A6D88">
        <w:rPr>
          <w:rFonts w:ascii="Noto Sans" w:hAnsi="Noto Sans" w:cs="Noto Sans"/>
          <w:color w:val="230050"/>
          <w:sz w:val="22"/>
          <w:szCs w:val="22"/>
          <w:shd w:val="clear" w:color="auto" w:fill="FFFFFF"/>
        </w:rPr>
        <w:t xml:space="preserve"> and undermines the realization of human rights.  </w:t>
      </w:r>
    </w:p>
    <w:p w14:paraId="0F815023"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p>
    <w:p w14:paraId="6EEBFE5E"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r w:rsidRPr="000A6D88">
        <w:rPr>
          <w:rFonts w:ascii="Noto Sans" w:hAnsi="Noto Sans" w:cs="Noto Sans"/>
          <w:color w:val="230050"/>
          <w:sz w:val="22"/>
          <w:szCs w:val="22"/>
          <w:shd w:val="clear" w:color="auto" w:fill="FFFFFF"/>
        </w:rPr>
        <w:t>The ILO Resource Package</w:t>
      </w:r>
      <w:r w:rsidRPr="000A6D88">
        <w:rPr>
          <w:rFonts w:ascii="Notot sans" w:hAnsi="Notot sans" w:cs="Arial"/>
          <w:color w:val="111111"/>
          <w:sz w:val="22"/>
          <w:szCs w:val="22"/>
          <w:shd w:val="clear" w:color="auto" w:fill="FFFFFF"/>
        </w:rPr>
        <w:t xml:space="preserve"> </w:t>
      </w:r>
      <w:r w:rsidRPr="000A6D88">
        <w:rPr>
          <w:rFonts w:ascii="Notot sans" w:hAnsi="Notot sans" w:cs="Arial"/>
          <w:sz w:val="22"/>
          <w:szCs w:val="22"/>
        </w:rPr>
        <w:t xml:space="preserve"> </w:t>
      </w:r>
      <w:hyperlink r:id="rId5" w:history="1">
        <w:r w:rsidRPr="000A6D88">
          <w:rPr>
            <w:rStyle w:val="a5"/>
            <w:rFonts w:ascii="Notot sans" w:hAnsi="Notot sans" w:cs="Arial"/>
            <w:sz w:val="22"/>
            <w:szCs w:val="22"/>
          </w:rPr>
          <w:t>Extending Social Security to Workers in Informal Economy: Lessons from international experience</w:t>
        </w:r>
      </w:hyperlink>
      <w:r w:rsidRPr="000A6D88">
        <w:rPr>
          <w:rFonts w:ascii="Notot sans" w:hAnsi="Notot sans" w:cs="Arial"/>
          <w:sz w:val="22"/>
          <w:szCs w:val="22"/>
        </w:rPr>
        <w:t xml:space="preserve"> </w:t>
      </w:r>
      <w:r w:rsidRPr="000A6D88">
        <w:rPr>
          <w:rFonts w:ascii="Notot sans" w:hAnsi="Notot sans" w:cs="Arial"/>
          <w:color w:val="111111"/>
          <w:sz w:val="22"/>
          <w:szCs w:val="22"/>
          <w:shd w:val="clear" w:color="auto" w:fill="FFFFFF"/>
        </w:rPr>
        <w:t xml:space="preserve">serves as a practical </w:t>
      </w:r>
      <w:r w:rsidRPr="000A6D88">
        <w:rPr>
          <w:rFonts w:ascii="Noto Sans" w:hAnsi="Noto Sans" w:cs="Noto Sans"/>
          <w:color w:val="230050"/>
          <w:sz w:val="22"/>
          <w:szCs w:val="22"/>
          <w:shd w:val="clear" w:color="auto" w:fill="FFFFFF"/>
        </w:rPr>
        <w:t xml:space="preserve">tool for policy makers, workers’ and employers’ organizations and other stakeholders to develop viable policy options to address the multi-fold challenges of extending social protection to workers in the informal economy and facilitating transitions to formality. It offers examples of approaches and practices taken globally to address the many challenges of extending social protection to workers in informal economy, addressing a broad range of relevant aspects, including analysis of needs, adapting social security legislation, compliance and enforcement mechanisms, administrative procedures, benefit design, contribution schedules, service delivery and monitoring mechanisms. The </w:t>
      </w:r>
      <w:hyperlink r:id="rId6" w:history="1">
        <w:r w:rsidRPr="000A6D88">
          <w:rPr>
            <w:rStyle w:val="a5"/>
            <w:rFonts w:ascii="Notot sans" w:hAnsi="Notot sans" w:cs="Arial"/>
            <w:sz w:val="22"/>
            <w:szCs w:val="22"/>
            <w:shd w:val="clear" w:color="auto" w:fill="FFFFFF"/>
          </w:rPr>
          <w:t>guidebook</w:t>
        </w:r>
      </w:hyperlink>
      <w:r w:rsidRPr="000A6D88">
        <w:rPr>
          <w:rFonts w:ascii="Notot sans" w:hAnsi="Notot sans" w:cs="Arial"/>
          <w:color w:val="111111"/>
          <w:sz w:val="22"/>
          <w:szCs w:val="22"/>
          <w:shd w:val="clear" w:color="auto" w:fill="FFFFFF"/>
        </w:rPr>
        <w:t xml:space="preserve"> </w:t>
      </w:r>
      <w:r w:rsidRPr="000A6D88">
        <w:rPr>
          <w:rFonts w:ascii="Noto Sans" w:hAnsi="Noto Sans" w:cs="Noto Sans"/>
          <w:color w:val="230050"/>
          <w:sz w:val="22"/>
          <w:szCs w:val="22"/>
          <w:shd w:val="clear" w:color="auto" w:fill="FFFFFF"/>
        </w:rPr>
        <w:t xml:space="preserve">has been translated into Russian language to provide policymakers, workers’ and employer’s organizations in the ECIS sub-region and other stakeholders a reference point in their attempts to remove the barriers that prevent workers in some forms of employment from being protected. </w:t>
      </w:r>
    </w:p>
    <w:p w14:paraId="16971013" w14:textId="77777777" w:rsidR="009A715D" w:rsidRPr="000A6D88" w:rsidRDefault="009A715D" w:rsidP="00E4232D">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r w:rsidRPr="000A6D88">
        <w:rPr>
          <w:rFonts w:ascii="Noto Sans" w:hAnsi="Noto Sans" w:cs="Noto Sans"/>
          <w:color w:val="230050"/>
          <w:shd w:val="clear" w:color="auto" w:fill="FFFFFF"/>
          <w14:textOutline w14:w="0" w14:cap="flat" w14:cmpd="sng" w14:algn="ctr">
            <w14:noFill/>
            <w14:prstDash w14:val="solid"/>
            <w14:bevel/>
          </w14:textOutline>
        </w:rPr>
        <w:t xml:space="preserve">Recognizing the heterogeneity of workers’ realities, the Resource Package reflects specific challenges and good practices for selected sectors and categories of workers (domestic workers, agricultural workers, self-employed workers, workers in micro and small enterprises (MSEs), etc.) and also provides links to more specific guidance material focusing on these groups. The position of all these categories of workers, as well as workers in the platform and gig economy is of increasing interest for ILO constituents in the ECIS sub-region, in part due to the impact of the COVID -19 pandemic, many of whom bear the brunt of the crisis.  </w:t>
      </w:r>
    </w:p>
    <w:p w14:paraId="6E8A4A11"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p>
    <w:p w14:paraId="4A4859FF" w14:textId="77777777" w:rsidR="003B632B" w:rsidRPr="000A6D88" w:rsidRDefault="003B632B" w:rsidP="003B632B">
      <w:pPr>
        <w:pStyle w:val="a7"/>
        <w:spacing w:before="0"/>
        <w:jc w:val="both"/>
        <w:rPr>
          <w:rFonts w:ascii="Noto Sans" w:hAnsi="Noto Sans" w:cs="Noto Sans" w:hint="eastAsia"/>
          <w:color w:val="230050"/>
          <w:sz w:val="22"/>
          <w:szCs w:val="22"/>
          <w:shd w:val="clear" w:color="auto" w:fill="FFFFFF"/>
        </w:rPr>
      </w:pPr>
      <w:r w:rsidRPr="000A6D88">
        <w:rPr>
          <w:rFonts w:ascii="Noto Sans" w:hAnsi="Noto Sans" w:cs="Noto Sans"/>
          <w:color w:val="230050"/>
          <w:sz w:val="22"/>
          <w:szCs w:val="22"/>
          <w:shd w:val="clear" w:color="auto" w:fill="FFFFFF"/>
        </w:rPr>
        <w:t>The purpose of Webinar 2 is to present the Russian translation of the Handbook “Extending social security  to workers in the informal economy:  Lessons from international experience” and discuss online workspace on extension of social protection coverage to workers in informal economy and non-standard forms of employment. </w:t>
      </w:r>
    </w:p>
    <w:p w14:paraId="54B17429" w14:textId="77777777" w:rsidR="003B632B" w:rsidRPr="000A6D88" w:rsidRDefault="003B632B" w:rsidP="003B632B">
      <w:pPr>
        <w:pStyle w:val="a8"/>
        <w:jc w:val="both"/>
        <w:rPr>
          <w:rFonts w:ascii="Noto Sans" w:hAnsi="Noto Sans" w:cs="Arial" w:hint="eastAsia"/>
          <w:sz w:val="22"/>
          <w:szCs w:val="22"/>
          <w:lang w:val="en-US"/>
        </w:rPr>
      </w:pPr>
    </w:p>
    <w:p w14:paraId="36C231A5" w14:textId="77777777" w:rsidR="003B632B" w:rsidRPr="000A6D88" w:rsidRDefault="003B632B" w:rsidP="003B632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Ms. Olga KOULAEVA</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Director, ILO Decent Work Technical Support Team and Country Office for Eastern Europe and Central Asia</w:t>
      </w:r>
    </w:p>
    <w:p w14:paraId="52F75E3B" w14:textId="77777777" w:rsidR="003B632B" w:rsidRPr="000A6D88" w:rsidRDefault="003B632B" w:rsidP="003B632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Ms. Christina BEHRENDT,</w:t>
      </w:r>
      <w:r w:rsidRPr="000A6D88">
        <w:rPr>
          <w:rFonts w:ascii="Noto Sans" w:hAnsi="Noto Sans" w:cs="Arial"/>
          <w:sz w:val="22"/>
          <w:szCs w:val="22"/>
          <w:lang w:val="en-US"/>
        </w:rPr>
        <w:t xml:space="preserve"> </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Head of the Social Policy Unit, Social Protection Department, ILO Geneva </w:t>
      </w:r>
    </w:p>
    <w:p w14:paraId="76E6EEB9" w14:textId="77777777" w:rsidR="003B632B" w:rsidRPr="000A6D88" w:rsidRDefault="003B632B" w:rsidP="003B632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Ms. Quynh A</w:t>
      </w:r>
      <w:r w:rsidRPr="000A6D88">
        <w:rPr>
          <w:rFonts w:ascii="Noto Sans" w:hAnsi="Noto Sans" w:cs="Noto Sans" w:hint="eastAsia"/>
          <w:color w:val="1E2DBE"/>
          <w:sz w:val="22"/>
          <w:szCs w:val="22"/>
          <w:shd w:val="clear" w:color="auto" w:fill="FFFFFF"/>
          <w:lang w:val="en-US"/>
          <w14:textOutline w14:w="0" w14:cap="flat" w14:cmpd="sng" w14:algn="ctr">
            <w14:noFill/>
            <w14:prstDash w14:val="solid"/>
            <w14:bevel/>
          </w14:textOutline>
        </w:rPr>
        <w:t>nh</w:t>
      </w: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 xml:space="preserve"> NGUYEN</w:t>
      </w:r>
      <w:r w:rsidRPr="000A6D88">
        <w:rPr>
          <w:rFonts w:ascii="Noto Sans" w:hAnsi="Noto Sans" w:cs="Arial"/>
          <w:color w:val="111111"/>
          <w:sz w:val="22"/>
          <w:szCs w:val="22"/>
          <w:shd w:val="clear" w:color="auto" w:fill="FFFFFF"/>
          <w:lang w:val="en-US"/>
        </w:rPr>
        <w:t xml:space="preserve">, </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Social Protection Technical Officer, Social Protection Department, ILO Geneva</w:t>
      </w:r>
    </w:p>
    <w:p w14:paraId="146121A0" w14:textId="77777777" w:rsidR="003B632B" w:rsidRPr="000A6D88" w:rsidRDefault="003B632B" w:rsidP="003B632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Mr. Finn KOH,</w:t>
      </w:r>
      <w:r w:rsidRPr="000A6D88">
        <w:rPr>
          <w:rFonts w:ascii="Noto Sans" w:hAnsi="Noto Sans" w:cs="Arial"/>
          <w:color w:val="212121"/>
          <w:sz w:val="22"/>
          <w:szCs w:val="22"/>
          <w:shd w:val="clear" w:color="auto" w:fill="FFFFFF"/>
          <w:lang w:val="en-US"/>
        </w:rPr>
        <w:t xml:space="preserve"> </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Project Manager, ILO Cambodia</w:t>
      </w:r>
    </w:p>
    <w:p w14:paraId="6D53B8AF" w14:textId="77777777" w:rsidR="003B632B" w:rsidRPr="000A6D88" w:rsidRDefault="003B632B" w:rsidP="003B632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Noto Sans" w:hAnsi="Noto Sans" w:cs="Arial" w:hint="eastAsia"/>
          <w:sz w:val="22"/>
          <w:szCs w:val="22"/>
          <w:lang w:val="en-US"/>
        </w:rPr>
      </w:pPr>
      <w:r w:rsidRPr="000A6D88">
        <w:rPr>
          <w:rFonts w:ascii="Noto Sans" w:hAnsi="Noto Sans" w:cs="Noto Sans"/>
          <w:color w:val="1E2DBE"/>
          <w:sz w:val="22"/>
          <w:szCs w:val="22"/>
          <w:shd w:val="clear" w:color="auto" w:fill="FFFFFF"/>
          <w:lang w:val="en-US"/>
          <w14:textOutline w14:w="0" w14:cap="flat" w14:cmpd="sng" w14:algn="ctr">
            <w14:noFill/>
            <w14:prstDash w14:val="solid"/>
            <w14:bevel/>
          </w14:textOutline>
        </w:rPr>
        <w:t>Mr. Nikita LYUTOV</w:t>
      </w:r>
      <w:r w:rsidRPr="000A6D88">
        <w:rPr>
          <w:rFonts w:ascii="Noto Sans" w:hAnsi="Noto Sans" w:cs="Arial"/>
          <w:color w:val="212121"/>
          <w:sz w:val="22"/>
          <w:szCs w:val="22"/>
          <w:shd w:val="clear" w:color="auto" w:fill="FFFFFF"/>
          <w:lang w:val="en-US"/>
        </w:rPr>
        <w:t xml:space="preserve">, </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Professor, Head of Department of </w:t>
      </w:r>
      <w:proofErr w:type="spellStart"/>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Labour</w:t>
      </w:r>
      <w:proofErr w:type="spellEnd"/>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 and Social Security Law at </w:t>
      </w:r>
      <w:proofErr w:type="spellStart"/>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Kutafin</w:t>
      </w:r>
      <w:proofErr w:type="spellEnd"/>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 Moscow State Law University, MSAL</w:t>
      </w:r>
    </w:p>
    <w:p w14:paraId="3FE10F4E" w14:textId="77777777" w:rsidR="003B632B" w:rsidRPr="000A6D88" w:rsidRDefault="003B632B" w:rsidP="003B632B">
      <w:pPr>
        <w:pStyle w:val="a8"/>
        <w:shd w:val="clear" w:color="auto" w:fill="FFFFFF"/>
        <w:rPr>
          <w:rFonts w:ascii="Noto Sans" w:hAnsi="Noto Sans" w:cs="Noto Sans" w:hint="eastAsia"/>
          <w:color w:val="212121"/>
          <w:sz w:val="22"/>
          <w:szCs w:val="22"/>
          <w:shd w:val="clear" w:color="auto" w:fill="FFFFFF"/>
          <w:lang w:val="en-US"/>
        </w:rPr>
      </w:pPr>
    </w:p>
    <w:p w14:paraId="17168679" w14:textId="77777777" w:rsidR="003B632B" w:rsidRPr="000A6D88" w:rsidRDefault="003B632B" w:rsidP="003B632B">
      <w:pPr>
        <w:pStyle w:val="a7"/>
        <w:spacing w:before="0"/>
        <w:jc w:val="both"/>
        <w:rPr>
          <w:rFonts w:ascii="Noto Sans" w:eastAsia="Times New Roman" w:hAnsi="Noto Sans" w:cs="Noto Sans"/>
          <w:color w:val="230050"/>
          <w:sz w:val="22"/>
          <w:szCs w:val="22"/>
          <w:shd w:val="clear" w:color="auto" w:fill="FFFFFF"/>
        </w:rPr>
      </w:pPr>
      <w:r w:rsidRPr="000A6D88">
        <w:rPr>
          <w:rFonts w:ascii="Noto Sans" w:hAnsi="Noto Sans" w:cs="Noto Sans" w:hint="eastAsia"/>
          <w:color w:val="230050"/>
          <w:sz w:val="22"/>
          <w:szCs w:val="22"/>
          <w:shd w:val="clear" w:color="auto" w:fill="FFFFFF"/>
          <w:lang w:val="it-IT"/>
        </w:rPr>
        <w:t>Moderator:</w:t>
      </w:r>
      <w:r w:rsidRPr="000A6D88">
        <w:rPr>
          <w:rFonts w:ascii="Noto Sans" w:hAnsi="Noto Sans" w:cs="Noto Sans" w:hint="eastAsia"/>
          <w:color w:val="230050"/>
          <w:sz w:val="22"/>
          <w:szCs w:val="22"/>
          <w:shd w:val="clear" w:color="auto" w:fill="FFFFFF"/>
        </w:rPr>
        <w:t> </w:t>
      </w:r>
      <w:r w:rsidRPr="000A6D88">
        <w:rPr>
          <w:rFonts w:ascii="Noto Sans" w:hAnsi="Noto Sans" w:cs="Noto Sans" w:hint="eastAsia"/>
          <w:color w:val="1E2DBE"/>
          <w:sz w:val="22"/>
          <w:szCs w:val="22"/>
          <w:u w:color="212121"/>
          <w:shd w:val="clear" w:color="auto" w:fill="FFFFFF"/>
        </w:rPr>
        <w:t xml:space="preserve"> Ms. </w:t>
      </w:r>
      <w:proofErr w:type="spellStart"/>
      <w:r w:rsidRPr="000A6D88">
        <w:rPr>
          <w:rFonts w:ascii="Noto Sans" w:hAnsi="Noto Sans" w:cs="Noto Sans" w:hint="eastAsia"/>
          <w:color w:val="1E2DBE"/>
          <w:sz w:val="22"/>
          <w:szCs w:val="22"/>
          <w:u w:color="212121"/>
          <w:shd w:val="clear" w:color="auto" w:fill="FFFFFF"/>
        </w:rPr>
        <w:t>Jasmina</w:t>
      </w:r>
      <w:proofErr w:type="spellEnd"/>
      <w:r w:rsidRPr="000A6D88">
        <w:rPr>
          <w:rFonts w:ascii="Noto Sans" w:hAnsi="Noto Sans" w:cs="Noto Sans" w:hint="eastAsia"/>
          <w:color w:val="1E2DBE"/>
          <w:sz w:val="22"/>
          <w:szCs w:val="22"/>
          <w:u w:color="212121"/>
          <w:shd w:val="clear" w:color="auto" w:fill="FFFFFF"/>
        </w:rPr>
        <w:t xml:space="preserve"> PAPA,</w:t>
      </w:r>
      <w:r w:rsidRPr="000A6D88">
        <w:rPr>
          <w:rFonts w:ascii="Noto Sans" w:hAnsi="Noto Sans" w:cs="Noto Sans" w:hint="eastAsia"/>
          <w:color w:val="230050"/>
          <w:sz w:val="22"/>
          <w:szCs w:val="22"/>
          <w:shd w:val="clear" w:color="auto" w:fill="FFFFFF"/>
        </w:rPr>
        <w:t xml:space="preserve"> Social Protection Specialist, ILO DWT/CO-Moscow</w:t>
      </w:r>
    </w:p>
    <w:p w14:paraId="04E91608" w14:textId="77777777" w:rsidR="003B632B" w:rsidRPr="000A6D88" w:rsidRDefault="003B632B" w:rsidP="00353F55">
      <w:pPr>
        <w:pStyle w:val="1"/>
        <w:jc w:val="both"/>
        <w:rPr>
          <w:rFonts w:ascii="Noto Sans" w:hAnsi="Noto Sans" w:cs="Noto Sans" w:hint="eastAsia"/>
          <w:u w:color="212121"/>
          <w:shd w:val="clear" w:color="auto" w:fill="FFFFFF"/>
        </w:rPr>
      </w:pPr>
    </w:p>
    <w:p w14:paraId="61F3E648" w14:textId="7DB0DBB1" w:rsidR="00353F55" w:rsidRPr="000A6D88" w:rsidRDefault="00353F55" w:rsidP="00353F55">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r w:rsidRPr="000A6D88">
        <w:rPr>
          <w:rFonts w:ascii="Noto Sans" w:hAnsi="Noto Sans" w:cs="Noto Sans"/>
          <w:color w:val="230050"/>
          <w:shd w:val="clear" w:color="auto" w:fill="FFFFFF"/>
          <w14:textOutline w14:w="0" w14:cap="flat" w14:cmpd="sng" w14:algn="ctr">
            <w14:noFill/>
            <w14:prstDash w14:val="solid"/>
            <w14:bevel/>
          </w14:textOutline>
        </w:rPr>
        <w:t>The webinar will be conducted in Russian and English languages using </w:t>
      </w:r>
      <w:r w:rsidRPr="000A6D88">
        <w:rPr>
          <w:color w:val="230050"/>
          <w14:textOutline w14:w="0" w14:cap="flat" w14:cmpd="sng" w14:algn="ctr">
            <w14:noFill/>
            <w14:prstDash w14:val="solid"/>
            <w14:bevel/>
          </w14:textOutline>
        </w:rPr>
        <w:t>Zoom</w:t>
      </w:r>
      <w:r w:rsidRPr="000A6D88">
        <w:rPr>
          <w:rFonts w:ascii="Noto Sans" w:hAnsi="Noto Sans" w:cs="Noto Sans"/>
          <w:color w:val="230050"/>
          <w:shd w:val="clear" w:color="auto" w:fill="FFFFFF"/>
          <w14:textOutline w14:w="0" w14:cap="flat" w14:cmpd="sng" w14:algn="ctr">
            <w14:noFill/>
            <w14:prstDash w14:val="solid"/>
            <w14:bevel/>
          </w14:textOutline>
        </w:rPr>
        <w:t xml:space="preserve"> video conferencing. Q&amp;A session will follow the presentation. The duration of the conference is about 2 hours. </w:t>
      </w:r>
    </w:p>
    <w:p w14:paraId="64D64B52" w14:textId="77777777" w:rsidR="00353F55" w:rsidRPr="000A6D88" w:rsidRDefault="00353F55" w:rsidP="00353F55">
      <w:pPr>
        <w:pStyle w:val="1"/>
        <w:jc w:val="both"/>
        <w:rPr>
          <w:rFonts w:ascii="Noto Sans" w:hAnsi="Noto Sans" w:cs="Noto Sans" w:hint="eastAsia"/>
          <w:u w:color="212121"/>
          <w:shd w:val="clear" w:color="auto" w:fill="FFFFFF"/>
        </w:rPr>
      </w:pPr>
    </w:p>
    <w:p w14:paraId="26403D35" w14:textId="2692C99A" w:rsidR="00392F66" w:rsidRPr="000A6D88" w:rsidRDefault="00392F66" w:rsidP="00392F66">
      <w:pPr>
        <w:pStyle w:val="1"/>
        <w:jc w:val="both"/>
        <w:rPr>
          <w:rFonts w:ascii="Noto Sans" w:hAnsi="Noto Sans" w:cs="Noto Sans" w:hint="eastAsia"/>
          <w:color w:val="auto"/>
          <w:u w:color="212121"/>
          <w:shd w:val="clear" w:color="auto" w:fill="FFFFFF"/>
        </w:rPr>
      </w:pPr>
      <w:r w:rsidRPr="000A6D88">
        <w:rPr>
          <w:rFonts w:ascii="Noto Sans" w:hAnsi="Noto Sans" w:cs="Noto Sans"/>
          <w:color w:val="230050"/>
          <w:shd w:val="clear" w:color="auto" w:fill="FFFFFF"/>
          <w14:textOutline w14:w="0" w14:cap="flat" w14:cmpd="sng" w14:algn="ctr">
            <w14:noFill/>
            <w14:prstDash w14:val="solid"/>
            <w14:bevel/>
          </w14:textOutline>
        </w:rPr>
        <w:t xml:space="preserve">To </w:t>
      </w:r>
      <w:r w:rsidR="005E3385" w:rsidRPr="000A6D88">
        <w:rPr>
          <w:rFonts w:ascii="Noto Sans" w:hAnsi="Noto Sans" w:cs="Noto Sans"/>
          <w:color w:val="230050"/>
          <w:shd w:val="clear" w:color="auto" w:fill="FFFFFF"/>
          <w14:textOutline w14:w="0" w14:cap="flat" w14:cmpd="sng" w14:algn="ctr">
            <w14:noFill/>
            <w14:prstDash w14:val="solid"/>
            <w14:bevel/>
          </w14:textOutline>
        </w:rPr>
        <w:t>register</w:t>
      </w:r>
      <w:r w:rsidRPr="000A6D88">
        <w:rPr>
          <w:rFonts w:ascii="Noto Sans" w:hAnsi="Noto Sans" w:cs="Noto Sans"/>
          <w:color w:val="230050"/>
          <w:shd w:val="clear" w:color="auto" w:fill="FFFFFF"/>
          <w14:textOutline w14:w="0" w14:cap="flat" w14:cmpd="sng" w14:algn="ctr">
            <w14:noFill/>
            <w14:prstDash w14:val="solid"/>
            <w14:bevel/>
          </w14:textOutline>
        </w:rPr>
        <w:t xml:space="preserve"> click</w:t>
      </w:r>
      <w:r w:rsidRPr="000A6D88">
        <w:rPr>
          <w:rFonts w:ascii="Noto Sans" w:hAnsi="Noto Sans" w:cs="Noto Sans"/>
          <w:color w:val="auto"/>
          <w:u w:color="212121"/>
          <w:shd w:val="clear" w:color="auto" w:fill="FFFFFF"/>
          <w:lang w:val="en-GB"/>
        </w:rPr>
        <w:t xml:space="preserve"> </w:t>
      </w:r>
      <w:hyperlink r:id="rId7" w:history="1">
        <w:r w:rsidRPr="000A6D88">
          <w:rPr>
            <w:rStyle w:val="a5"/>
            <w:rFonts w:ascii="Noto Sans" w:hAnsi="Noto Sans" w:cs="Noto Sans"/>
            <w:color w:val="auto"/>
            <w:u w:color="212121"/>
          </w:rPr>
          <w:t>here</w:t>
        </w:r>
      </w:hyperlink>
      <w:r w:rsidRPr="000A6D88">
        <w:rPr>
          <w:rFonts w:ascii="Noto Sans" w:hAnsi="Noto Sans" w:cs="Noto Sans"/>
          <w:color w:val="auto"/>
          <w:u w:color="212121"/>
          <w:lang w:val="en-GB"/>
        </w:rPr>
        <w:t>.</w:t>
      </w:r>
      <w:r w:rsidRPr="000A6D88">
        <w:rPr>
          <w:rFonts w:ascii="Noto Sans" w:hAnsi="Noto Sans" w:cs="Noto Sans"/>
          <w:color w:val="auto"/>
          <w:u w:color="212121"/>
          <w:shd w:val="clear" w:color="auto" w:fill="FBCAA2"/>
          <w:lang w:val="en-GB"/>
        </w:rPr>
        <w:t xml:space="preserve"> </w:t>
      </w:r>
    </w:p>
    <w:p w14:paraId="0978D394" w14:textId="77777777" w:rsidR="00FB712D" w:rsidRPr="000A6D88" w:rsidRDefault="00FB712D">
      <w:pPr>
        <w:rPr>
          <w:rFonts w:ascii="Noto Sans" w:hAnsi="Noto Sans" w:hint="eastAsia"/>
          <w:color w:val="auto"/>
          <w:sz w:val="22"/>
          <w:szCs w:val="22"/>
          <w:lang w:val="en-GB"/>
        </w:rPr>
      </w:pPr>
    </w:p>
    <w:p w14:paraId="7B598684" w14:textId="77777777" w:rsidR="005E3385" w:rsidRPr="000A6D88" w:rsidRDefault="005E3385" w:rsidP="00A11EFF">
      <w:pPr>
        <w:jc w:val="both"/>
        <w:rPr>
          <w:rFonts w:ascii="Noto Sans" w:hAnsi="Noto Sans" w:cs="Noto Sans" w:hint="eastAsia"/>
          <w:sz w:val="22"/>
          <w:szCs w:val="22"/>
          <w:lang w:val="en-GB"/>
        </w:rPr>
      </w:pP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After registering, you will receive a confirmation email containing information about joining the </w:t>
      </w:r>
      <w:proofErr w:type="gramStart"/>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webinar</w:t>
      </w:r>
      <w:r w:rsidRPr="000A6D88">
        <w:rPr>
          <w:rFonts w:ascii="Noto Sans" w:hAnsi="Noto Sans" w:cs="Noto Sans"/>
          <w:color w:val="212121"/>
          <w:sz w:val="22"/>
          <w:szCs w:val="22"/>
          <w:shd w:val="clear" w:color="auto" w:fill="FFFFFF"/>
          <w:lang w:val="en-GB"/>
        </w:rPr>
        <w:t>.</w:t>
      </w:r>
      <w:r w:rsidRPr="000A6D88">
        <w:rPr>
          <w:rFonts w:ascii="Noto Sans" w:hAnsi="Noto Sans" w:cs="Noto Sans"/>
          <w:sz w:val="22"/>
          <w:szCs w:val="22"/>
          <w:lang w:val="en-GB"/>
        </w:rPr>
        <w:t>​</w:t>
      </w:r>
      <w:proofErr w:type="gramEnd"/>
    </w:p>
    <w:sectPr w:rsidR="005E3385" w:rsidRPr="000A6D88" w:rsidSect="00A11E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oto Sans">
    <w:altName w:val="Calibri"/>
    <w:panose1 w:val="00000000000000000000"/>
    <w:charset w:val="00"/>
    <w:family w:val="roman"/>
    <w:notTrueType/>
    <w:pitch w:val="default"/>
  </w:font>
  <w:font w:name="Notot 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20.4pt;height:23.4pt;visibility:visible;mso-wrap-style:square" o:bullet="t">
        <v:imagedata r:id="rId1" o:title=""/>
      </v:shape>
    </w:pict>
  </w:numPicBullet>
  <w:abstractNum w:abstractNumId="0" w15:restartNumberingAfterBreak="0">
    <w:nsid w:val="2966630A"/>
    <w:multiLevelType w:val="hybridMultilevel"/>
    <w:tmpl w:val="A02C519C"/>
    <w:lvl w:ilvl="0" w:tplc="5812FE56">
      <w:start w:val="1"/>
      <w:numFmt w:val="bullet"/>
      <w:lvlText w:val=""/>
      <w:lvlPicBulletId w:val="0"/>
      <w:lvlJc w:val="left"/>
      <w:pPr>
        <w:tabs>
          <w:tab w:val="num" w:pos="720"/>
        </w:tabs>
        <w:ind w:left="720" w:hanging="360"/>
      </w:pPr>
      <w:rPr>
        <w:rFonts w:ascii="Symbol" w:hAnsi="Symbol" w:hint="default"/>
      </w:rPr>
    </w:lvl>
    <w:lvl w:ilvl="1" w:tplc="E22AEAE4" w:tentative="1">
      <w:start w:val="1"/>
      <w:numFmt w:val="bullet"/>
      <w:lvlText w:val=""/>
      <w:lvlJc w:val="left"/>
      <w:pPr>
        <w:tabs>
          <w:tab w:val="num" w:pos="1440"/>
        </w:tabs>
        <w:ind w:left="1440" w:hanging="360"/>
      </w:pPr>
      <w:rPr>
        <w:rFonts w:ascii="Symbol" w:hAnsi="Symbol" w:hint="default"/>
      </w:rPr>
    </w:lvl>
    <w:lvl w:ilvl="2" w:tplc="B2222E16" w:tentative="1">
      <w:start w:val="1"/>
      <w:numFmt w:val="bullet"/>
      <w:lvlText w:val=""/>
      <w:lvlJc w:val="left"/>
      <w:pPr>
        <w:tabs>
          <w:tab w:val="num" w:pos="2160"/>
        </w:tabs>
        <w:ind w:left="2160" w:hanging="360"/>
      </w:pPr>
      <w:rPr>
        <w:rFonts w:ascii="Symbol" w:hAnsi="Symbol" w:hint="default"/>
      </w:rPr>
    </w:lvl>
    <w:lvl w:ilvl="3" w:tplc="4C8282B4" w:tentative="1">
      <w:start w:val="1"/>
      <w:numFmt w:val="bullet"/>
      <w:lvlText w:val=""/>
      <w:lvlJc w:val="left"/>
      <w:pPr>
        <w:tabs>
          <w:tab w:val="num" w:pos="2880"/>
        </w:tabs>
        <w:ind w:left="2880" w:hanging="360"/>
      </w:pPr>
      <w:rPr>
        <w:rFonts w:ascii="Symbol" w:hAnsi="Symbol" w:hint="default"/>
      </w:rPr>
    </w:lvl>
    <w:lvl w:ilvl="4" w:tplc="90B86428" w:tentative="1">
      <w:start w:val="1"/>
      <w:numFmt w:val="bullet"/>
      <w:lvlText w:val=""/>
      <w:lvlJc w:val="left"/>
      <w:pPr>
        <w:tabs>
          <w:tab w:val="num" w:pos="3600"/>
        </w:tabs>
        <w:ind w:left="3600" w:hanging="360"/>
      </w:pPr>
      <w:rPr>
        <w:rFonts w:ascii="Symbol" w:hAnsi="Symbol" w:hint="default"/>
      </w:rPr>
    </w:lvl>
    <w:lvl w:ilvl="5" w:tplc="B49EB7FE" w:tentative="1">
      <w:start w:val="1"/>
      <w:numFmt w:val="bullet"/>
      <w:lvlText w:val=""/>
      <w:lvlJc w:val="left"/>
      <w:pPr>
        <w:tabs>
          <w:tab w:val="num" w:pos="4320"/>
        </w:tabs>
        <w:ind w:left="4320" w:hanging="360"/>
      </w:pPr>
      <w:rPr>
        <w:rFonts w:ascii="Symbol" w:hAnsi="Symbol" w:hint="default"/>
      </w:rPr>
    </w:lvl>
    <w:lvl w:ilvl="6" w:tplc="29389FAE" w:tentative="1">
      <w:start w:val="1"/>
      <w:numFmt w:val="bullet"/>
      <w:lvlText w:val=""/>
      <w:lvlJc w:val="left"/>
      <w:pPr>
        <w:tabs>
          <w:tab w:val="num" w:pos="5040"/>
        </w:tabs>
        <w:ind w:left="5040" w:hanging="360"/>
      </w:pPr>
      <w:rPr>
        <w:rFonts w:ascii="Symbol" w:hAnsi="Symbol" w:hint="default"/>
      </w:rPr>
    </w:lvl>
    <w:lvl w:ilvl="7" w:tplc="72909C6E" w:tentative="1">
      <w:start w:val="1"/>
      <w:numFmt w:val="bullet"/>
      <w:lvlText w:val=""/>
      <w:lvlJc w:val="left"/>
      <w:pPr>
        <w:tabs>
          <w:tab w:val="num" w:pos="5760"/>
        </w:tabs>
        <w:ind w:left="5760" w:hanging="360"/>
      </w:pPr>
      <w:rPr>
        <w:rFonts w:ascii="Symbol" w:hAnsi="Symbol" w:hint="default"/>
      </w:rPr>
    </w:lvl>
    <w:lvl w:ilvl="8" w:tplc="D6981B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C76984"/>
    <w:multiLevelType w:val="hybridMultilevel"/>
    <w:tmpl w:val="88E2CAC6"/>
    <w:styleLink w:val="a"/>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15:restartNumberingAfterBreak="0">
    <w:nsid w:val="49DF3A80"/>
    <w:multiLevelType w:val="hybridMultilevel"/>
    <w:tmpl w:val="88E2CAC6"/>
    <w:numStyleLink w:val="a"/>
  </w:abstractNum>
  <w:abstractNum w:abstractNumId="3" w15:restartNumberingAfterBreak="0">
    <w:nsid w:val="4C9C384F"/>
    <w:multiLevelType w:val="hybridMultilevel"/>
    <w:tmpl w:val="C282727A"/>
    <w:lvl w:ilvl="0" w:tplc="0AD4C930">
      <w:start w:val="1"/>
      <w:numFmt w:val="bullet"/>
      <w:lvlText w:val=""/>
      <w:lvlPicBulletId w:val="0"/>
      <w:lvlJc w:val="left"/>
      <w:pPr>
        <w:tabs>
          <w:tab w:val="num" w:pos="720"/>
        </w:tabs>
        <w:ind w:left="720" w:hanging="360"/>
      </w:pPr>
      <w:rPr>
        <w:rFonts w:ascii="Symbol" w:hAnsi="Symbol" w:hint="default"/>
      </w:rPr>
    </w:lvl>
    <w:lvl w:ilvl="1" w:tplc="ACD4C026" w:tentative="1">
      <w:start w:val="1"/>
      <w:numFmt w:val="bullet"/>
      <w:lvlText w:val=""/>
      <w:lvlJc w:val="left"/>
      <w:pPr>
        <w:tabs>
          <w:tab w:val="num" w:pos="1440"/>
        </w:tabs>
        <w:ind w:left="1440" w:hanging="360"/>
      </w:pPr>
      <w:rPr>
        <w:rFonts w:ascii="Symbol" w:hAnsi="Symbol" w:hint="default"/>
      </w:rPr>
    </w:lvl>
    <w:lvl w:ilvl="2" w:tplc="F4F60FB6" w:tentative="1">
      <w:start w:val="1"/>
      <w:numFmt w:val="bullet"/>
      <w:lvlText w:val=""/>
      <w:lvlJc w:val="left"/>
      <w:pPr>
        <w:tabs>
          <w:tab w:val="num" w:pos="2160"/>
        </w:tabs>
        <w:ind w:left="2160" w:hanging="360"/>
      </w:pPr>
      <w:rPr>
        <w:rFonts w:ascii="Symbol" w:hAnsi="Symbol" w:hint="default"/>
      </w:rPr>
    </w:lvl>
    <w:lvl w:ilvl="3" w:tplc="F9A4CF6C" w:tentative="1">
      <w:start w:val="1"/>
      <w:numFmt w:val="bullet"/>
      <w:lvlText w:val=""/>
      <w:lvlJc w:val="left"/>
      <w:pPr>
        <w:tabs>
          <w:tab w:val="num" w:pos="2880"/>
        </w:tabs>
        <w:ind w:left="2880" w:hanging="360"/>
      </w:pPr>
      <w:rPr>
        <w:rFonts w:ascii="Symbol" w:hAnsi="Symbol" w:hint="default"/>
      </w:rPr>
    </w:lvl>
    <w:lvl w:ilvl="4" w:tplc="0220FC6C" w:tentative="1">
      <w:start w:val="1"/>
      <w:numFmt w:val="bullet"/>
      <w:lvlText w:val=""/>
      <w:lvlJc w:val="left"/>
      <w:pPr>
        <w:tabs>
          <w:tab w:val="num" w:pos="3600"/>
        </w:tabs>
        <w:ind w:left="3600" w:hanging="360"/>
      </w:pPr>
      <w:rPr>
        <w:rFonts w:ascii="Symbol" w:hAnsi="Symbol" w:hint="default"/>
      </w:rPr>
    </w:lvl>
    <w:lvl w:ilvl="5" w:tplc="60F2944E" w:tentative="1">
      <w:start w:val="1"/>
      <w:numFmt w:val="bullet"/>
      <w:lvlText w:val=""/>
      <w:lvlJc w:val="left"/>
      <w:pPr>
        <w:tabs>
          <w:tab w:val="num" w:pos="4320"/>
        </w:tabs>
        <w:ind w:left="4320" w:hanging="360"/>
      </w:pPr>
      <w:rPr>
        <w:rFonts w:ascii="Symbol" w:hAnsi="Symbol" w:hint="default"/>
      </w:rPr>
    </w:lvl>
    <w:lvl w:ilvl="6" w:tplc="1FA67258" w:tentative="1">
      <w:start w:val="1"/>
      <w:numFmt w:val="bullet"/>
      <w:lvlText w:val=""/>
      <w:lvlJc w:val="left"/>
      <w:pPr>
        <w:tabs>
          <w:tab w:val="num" w:pos="5040"/>
        </w:tabs>
        <w:ind w:left="5040" w:hanging="360"/>
      </w:pPr>
      <w:rPr>
        <w:rFonts w:ascii="Symbol" w:hAnsi="Symbol" w:hint="default"/>
      </w:rPr>
    </w:lvl>
    <w:lvl w:ilvl="7" w:tplc="FBBA91AA" w:tentative="1">
      <w:start w:val="1"/>
      <w:numFmt w:val="bullet"/>
      <w:lvlText w:val=""/>
      <w:lvlJc w:val="left"/>
      <w:pPr>
        <w:tabs>
          <w:tab w:val="num" w:pos="5760"/>
        </w:tabs>
        <w:ind w:left="5760" w:hanging="360"/>
      </w:pPr>
      <w:rPr>
        <w:rFonts w:ascii="Symbol" w:hAnsi="Symbol" w:hint="default"/>
      </w:rPr>
    </w:lvl>
    <w:lvl w:ilvl="8" w:tplc="C7CC61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C501AE"/>
    <w:multiLevelType w:val="hybridMultilevel"/>
    <w:tmpl w:val="219CE4DA"/>
    <w:lvl w:ilvl="0" w:tplc="09CE83EA">
      <w:start w:val="1"/>
      <w:numFmt w:val="bullet"/>
      <w:lvlText w:val=""/>
      <w:lvlPicBulletId w:val="0"/>
      <w:lvlJc w:val="left"/>
      <w:pPr>
        <w:tabs>
          <w:tab w:val="num" w:pos="720"/>
        </w:tabs>
        <w:ind w:left="720" w:hanging="360"/>
      </w:pPr>
      <w:rPr>
        <w:rFonts w:ascii="Symbol" w:hAnsi="Symbol" w:hint="default"/>
      </w:rPr>
    </w:lvl>
    <w:lvl w:ilvl="1" w:tplc="4D8410AA" w:tentative="1">
      <w:start w:val="1"/>
      <w:numFmt w:val="bullet"/>
      <w:lvlText w:val=""/>
      <w:lvlJc w:val="left"/>
      <w:pPr>
        <w:tabs>
          <w:tab w:val="num" w:pos="1440"/>
        </w:tabs>
        <w:ind w:left="1440" w:hanging="360"/>
      </w:pPr>
      <w:rPr>
        <w:rFonts w:ascii="Symbol" w:hAnsi="Symbol" w:hint="default"/>
      </w:rPr>
    </w:lvl>
    <w:lvl w:ilvl="2" w:tplc="CA28DA0C" w:tentative="1">
      <w:start w:val="1"/>
      <w:numFmt w:val="bullet"/>
      <w:lvlText w:val=""/>
      <w:lvlJc w:val="left"/>
      <w:pPr>
        <w:tabs>
          <w:tab w:val="num" w:pos="2160"/>
        </w:tabs>
        <w:ind w:left="2160" w:hanging="360"/>
      </w:pPr>
      <w:rPr>
        <w:rFonts w:ascii="Symbol" w:hAnsi="Symbol" w:hint="default"/>
      </w:rPr>
    </w:lvl>
    <w:lvl w:ilvl="3" w:tplc="94CCF266" w:tentative="1">
      <w:start w:val="1"/>
      <w:numFmt w:val="bullet"/>
      <w:lvlText w:val=""/>
      <w:lvlJc w:val="left"/>
      <w:pPr>
        <w:tabs>
          <w:tab w:val="num" w:pos="2880"/>
        </w:tabs>
        <w:ind w:left="2880" w:hanging="360"/>
      </w:pPr>
      <w:rPr>
        <w:rFonts w:ascii="Symbol" w:hAnsi="Symbol" w:hint="default"/>
      </w:rPr>
    </w:lvl>
    <w:lvl w:ilvl="4" w:tplc="C48CDAF6" w:tentative="1">
      <w:start w:val="1"/>
      <w:numFmt w:val="bullet"/>
      <w:lvlText w:val=""/>
      <w:lvlJc w:val="left"/>
      <w:pPr>
        <w:tabs>
          <w:tab w:val="num" w:pos="3600"/>
        </w:tabs>
        <w:ind w:left="3600" w:hanging="360"/>
      </w:pPr>
      <w:rPr>
        <w:rFonts w:ascii="Symbol" w:hAnsi="Symbol" w:hint="default"/>
      </w:rPr>
    </w:lvl>
    <w:lvl w:ilvl="5" w:tplc="89CCE4DA" w:tentative="1">
      <w:start w:val="1"/>
      <w:numFmt w:val="bullet"/>
      <w:lvlText w:val=""/>
      <w:lvlJc w:val="left"/>
      <w:pPr>
        <w:tabs>
          <w:tab w:val="num" w:pos="4320"/>
        </w:tabs>
        <w:ind w:left="4320" w:hanging="360"/>
      </w:pPr>
      <w:rPr>
        <w:rFonts w:ascii="Symbol" w:hAnsi="Symbol" w:hint="default"/>
      </w:rPr>
    </w:lvl>
    <w:lvl w:ilvl="6" w:tplc="12440848" w:tentative="1">
      <w:start w:val="1"/>
      <w:numFmt w:val="bullet"/>
      <w:lvlText w:val=""/>
      <w:lvlJc w:val="left"/>
      <w:pPr>
        <w:tabs>
          <w:tab w:val="num" w:pos="5040"/>
        </w:tabs>
        <w:ind w:left="5040" w:hanging="360"/>
      </w:pPr>
      <w:rPr>
        <w:rFonts w:ascii="Symbol" w:hAnsi="Symbol" w:hint="default"/>
      </w:rPr>
    </w:lvl>
    <w:lvl w:ilvl="7" w:tplc="0456CFB8" w:tentative="1">
      <w:start w:val="1"/>
      <w:numFmt w:val="bullet"/>
      <w:lvlText w:val=""/>
      <w:lvlJc w:val="left"/>
      <w:pPr>
        <w:tabs>
          <w:tab w:val="num" w:pos="5760"/>
        </w:tabs>
        <w:ind w:left="5760" w:hanging="360"/>
      </w:pPr>
      <w:rPr>
        <w:rFonts w:ascii="Symbol" w:hAnsi="Symbol" w:hint="default"/>
      </w:rPr>
    </w:lvl>
    <w:lvl w:ilvl="8" w:tplc="4A0068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BB"/>
    <w:rsid w:val="000140F8"/>
    <w:rsid w:val="000A6D88"/>
    <w:rsid w:val="00203743"/>
    <w:rsid w:val="003136BB"/>
    <w:rsid w:val="00353F55"/>
    <w:rsid w:val="00392F66"/>
    <w:rsid w:val="003B632B"/>
    <w:rsid w:val="00477AB9"/>
    <w:rsid w:val="004F5590"/>
    <w:rsid w:val="00524709"/>
    <w:rsid w:val="005E3385"/>
    <w:rsid w:val="00635409"/>
    <w:rsid w:val="00733A35"/>
    <w:rsid w:val="007B06CC"/>
    <w:rsid w:val="00883E15"/>
    <w:rsid w:val="00944C98"/>
    <w:rsid w:val="009A715D"/>
    <w:rsid w:val="00A11EFF"/>
    <w:rsid w:val="00A464ED"/>
    <w:rsid w:val="00B44D36"/>
    <w:rsid w:val="00CA08DC"/>
    <w:rsid w:val="00E4232D"/>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C825"/>
  <w15:chartTrackingRefBased/>
  <w15:docId w15:val="{1C711D6B-B1F7-49E5-934B-9E6D1EB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сновной текст1"/>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
    <w:name w:val="Пункты"/>
    <w:rsid w:val="00392F66"/>
    <w:pPr>
      <w:numPr>
        <w:numId w:val="1"/>
      </w:numPr>
    </w:pPr>
  </w:style>
  <w:style w:type="character" w:styleId="a4">
    <w:name w:val="Emphasis"/>
    <w:basedOn w:val="a1"/>
    <w:uiPriority w:val="20"/>
    <w:qFormat/>
    <w:rsid w:val="00635409"/>
    <w:rPr>
      <w:i/>
      <w:iCs/>
    </w:rPr>
  </w:style>
  <w:style w:type="character" w:styleId="a5">
    <w:name w:val="Hyperlink"/>
    <w:basedOn w:val="a1"/>
    <w:uiPriority w:val="99"/>
    <w:unhideWhenUsed/>
    <w:rsid w:val="005E3385"/>
    <w:rPr>
      <w:color w:val="0563C1" w:themeColor="hyperlink"/>
      <w:u w:val="single"/>
    </w:rPr>
  </w:style>
  <w:style w:type="character" w:styleId="a6">
    <w:name w:val="FollowedHyperlink"/>
    <w:basedOn w:val="a1"/>
    <w:uiPriority w:val="99"/>
    <w:semiHidden/>
    <w:unhideWhenUsed/>
    <w:rsid w:val="00944C98"/>
    <w:rPr>
      <w:color w:val="954F72" w:themeColor="followedHyperlink"/>
      <w:u w:val="single"/>
    </w:rPr>
  </w:style>
  <w:style w:type="paragraph" w:customStyle="1" w:styleId="a7">
    <w:name w:val="По умолчанию"/>
    <w:rsid w:val="0052470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a8">
    <w:name w:val="List Paragraph"/>
    <w:aliases w:val="List Square,Bullet List,FooterText,List Paragraph1,Colorful List Accent 1,numbered,Paragraphe de liste1,列出段落,列出段落1,Bulletr List Paragraph,List Paragraph2,List Paragraph21,Párrafo de lista1,Parágrafo da Lista1,リスト段落1,Plan,Dot pt,Ha"/>
    <w:basedOn w:val="a0"/>
    <w:link w:val="a9"/>
    <w:uiPriority w:val="34"/>
    <w:qFormat/>
    <w:rsid w:val="00CA08DC"/>
    <w:pPr>
      <w:ind w:left="720"/>
      <w:contextualSpacing/>
    </w:pPr>
  </w:style>
  <w:style w:type="character" w:customStyle="1" w:styleId="a9">
    <w:name w:val="Абзац списка Знак"/>
    <w:aliases w:val="List Square Знак,Bullet List Знак,FooterText Знак,List Paragraph1 Знак,Colorful List Accent 1 Знак,numbered Знак,Paragraphe de liste1 Знак,列出段落 Знак,列出段落1 Знак,Bulletr List Paragraph Знак,List Paragraph2 Знак,List Paragraph21 Знак"/>
    <w:link w:val="a8"/>
    <w:uiPriority w:val="34"/>
    <w:qFormat/>
    <w:locked/>
    <w:rsid w:val="00CA08DC"/>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webinar/register/WN_rX65ePcuTuWVWzA2SH83Y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protection.org/gimi/RessourcePDF.action?id=55728" TargetMode="External"/><Relationship Id="rId5" Type="http://schemas.openxmlformats.org/officeDocument/2006/relationships/hyperlink" Target="https://www.social-protection.org/gimi/RessourcePDF.action?id=55728"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635</Words>
  <Characters>3623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LocUser</dc:creator>
  <cp:keywords/>
  <dc:description/>
  <cp:lastModifiedBy>User</cp:lastModifiedBy>
  <cp:revision>17</cp:revision>
  <dcterms:created xsi:type="dcterms:W3CDTF">2020-05-13T12:11:00Z</dcterms:created>
  <dcterms:modified xsi:type="dcterms:W3CDTF">2020-06-01T15:09:00Z</dcterms:modified>
</cp:coreProperties>
</file>